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8344D" w14:textId="3B0BA98A" w:rsidR="00726F9B" w:rsidRDefault="000245F3" w:rsidP="000245F3">
      <w:pPr>
        <w:rPr>
          <w:rFonts w:ascii="Arial" w:hAnsi="Arial" w:cs="Arial"/>
          <w:b/>
          <w:bCs/>
          <w:sz w:val="44"/>
          <w:szCs w:val="44"/>
        </w:rPr>
      </w:pPr>
      <w:r>
        <w:rPr>
          <w:noProof/>
        </w:rPr>
        <w:drawing>
          <wp:inline distT="0" distB="0" distL="0" distR="0" wp14:anchorId="4973E6C1" wp14:editId="7E6848DC">
            <wp:extent cx="1357630" cy="1228725"/>
            <wp:effectExtent l="0" t="0" r="0" b="0"/>
            <wp:docPr id="2" name="Image 2" descr="Mac:Users:xavier.hasendahl:Desktop:ELEMENTS TEMPLATES SIG:LOGOS:REPUBLIQUE_FRANCAISE:eps:Republique_Francaise_CMJN.eps"/>
            <wp:cNvGraphicFramePr/>
            <a:graphic xmlns:a="http://schemas.openxmlformats.org/drawingml/2006/main">
              <a:graphicData uri="http://schemas.openxmlformats.org/drawingml/2006/picture">
                <pic:pic xmlns:pic="http://schemas.openxmlformats.org/drawingml/2006/picture">
                  <pic:nvPicPr>
                    <pic:cNvPr id="2" name="Image 2" descr="Mac:Users:xavier.hasendahl:Desktop:ELEMENTS TEMPLATES SIG:LOGOS:REPUBLIQUE_FRANCAISE:eps:Republique_Francaise_CMJN.ep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57630" cy="1228725"/>
                    </a:xfrm>
                    <a:prstGeom prst="rect">
                      <a:avLst/>
                    </a:prstGeom>
                    <a:noFill/>
                    <a:ln>
                      <a:noFill/>
                    </a:ln>
                  </pic:spPr>
                </pic:pic>
              </a:graphicData>
            </a:graphic>
          </wp:inline>
        </w:drawing>
      </w:r>
      <w:r w:rsidR="00726F9B">
        <w:rPr>
          <w:noProof/>
        </w:rPr>
        <w:drawing>
          <wp:inline distT="0" distB="0" distL="0" distR="0" wp14:anchorId="4589190C" wp14:editId="33EB1748">
            <wp:extent cx="2200275" cy="1066800"/>
            <wp:effectExtent l="0" t="0" r="9525" b="0"/>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00275" cy="1066800"/>
                    </a:xfrm>
                    <a:prstGeom prst="rect">
                      <a:avLst/>
                    </a:prstGeom>
                    <a:noFill/>
                  </pic:spPr>
                </pic:pic>
              </a:graphicData>
            </a:graphic>
          </wp:inline>
        </w:drawing>
      </w:r>
      <w:r w:rsidR="00726F9B">
        <w:rPr>
          <w:rFonts w:ascii="Arial" w:hAnsi="Arial" w:cs="Arial"/>
          <w:b/>
          <w:bCs/>
          <w:sz w:val="44"/>
          <w:szCs w:val="44"/>
        </w:rPr>
        <w:t xml:space="preserve">               </w:t>
      </w:r>
    </w:p>
    <w:p w14:paraId="4EE4181A" w14:textId="77777777" w:rsidR="003C0FC0" w:rsidRDefault="003C0FC0" w:rsidP="000245F3">
      <w:pPr>
        <w:autoSpaceDE w:val="0"/>
        <w:autoSpaceDN w:val="0"/>
        <w:adjustRightInd w:val="0"/>
        <w:spacing w:after="0" w:line="240" w:lineRule="auto"/>
        <w:jc w:val="center"/>
        <w:rPr>
          <w:rFonts w:ascii="Arial" w:hAnsi="Arial" w:cs="Arial"/>
          <w:b/>
          <w:bCs/>
          <w:color w:val="4472C4" w:themeColor="accent1"/>
          <w:sz w:val="32"/>
          <w:szCs w:val="32"/>
        </w:rPr>
      </w:pPr>
      <w:bookmarkStart w:id="0" w:name="_Hlk185344363"/>
    </w:p>
    <w:p w14:paraId="676F0F23" w14:textId="7795F4FA" w:rsidR="000245F3" w:rsidRPr="000245F3" w:rsidRDefault="000245F3" w:rsidP="000245F3">
      <w:pPr>
        <w:autoSpaceDE w:val="0"/>
        <w:autoSpaceDN w:val="0"/>
        <w:adjustRightInd w:val="0"/>
        <w:spacing w:after="0" w:line="240" w:lineRule="auto"/>
        <w:jc w:val="center"/>
        <w:rPr>
          <w:rFonts w:ascii="Arial" w:hAnsi="Arial" w:cs="Arial"/>
          <w:b/>
          <w:bCs/>
          <w:color w:val="4472C4" w:themeColor="accent1"/>
          <w:sz w:val="32"/>
          <w:szCs w:val="32"/>
        </w:rPr>
      </w:pPr>
      <w:r w:rsidRPr="000245F3">
        <w:rPr>
          <w:rFonts w:ascii="Arial" w:hAnsi="Arial" w:cs="Arial"/>
          <w:b/>
          <w:bCs/>
          <w:color w:val="4472C4" w:themeColor="accent1"/>
          <w:sz w:val="32"/>
          <w:szCs w:val="32"/>
        </w:rPr>
        <w:t xml:space="preserve">Acquisition de cartes d'achat et de prestations associées </w:t>
      </w:r>
    </w:p>
    <w:bookmarkEnd w:id="0"/>
    <w:p w14:paraId="741F14D4" w14:textId="3FC11DAF" w:rsidR="000245F3" w:rsidRPr="000245F3" w:rsidRDefault="000245F3" w:rsidP="00FB7206">
      <w:pPr>
        <w:jc w:val="center"/>
        <w:rPr>
          <w:rFonts w:ascii="Arial" w:hAnsi="Arial" w:cs="Arial"/>
          <w:b/>
          <w:bCs/>
          <w:color w:val="4472C4" w:themeColor="accent1"/>
        </w:rPr>
      </w:pPr>
      <w:r w:rsidRPr="000245F3">
        <w:rPr>
          <w:rFonts w:ascii="Arial" w:hAnsi="Arial" w:cs="Arial"/>
          <w:b/>
          <w:bCs/>
          <w:color w:val="4472C4" w:themeColor="accent1"/>
        </w:rPr>
        <w:t>GBM 26003</w:t>
      </w:r>
    </w:p>
    <w:p w14:paraId="5C67D000" w14:textId="471170ED" w:rsidR="000245F3" w:rsidRDefault="00D90491" w:rsidP="00FB7206">
      <w:pPr>
        <w:jc w:val="center"/>
        <w:rPr>
          <w:rFonts w:ascii="Arial" w:hAnsi="Arial" w:cs="Arial"/>
          <w:b/>
          <w:bCs/>
          <w:sz w:val="44"/>
          <w:szCs w:val="44"/>
        </w:rPr>
      </w:pPr>
      <w:r>
        <w:rPr>
          <w:rFonts w:ascii="Arial" w:hAnsi="Arial" w:cs="Arial"/>
          <w:b/>
          <w:bCs/>
          <w:sz w:val="44"/>
          <w:szCs w:val="44"/>
        </w:rPr>
        <w:t>Annexe 3</w:t>
      </w:r>
    </w:p>
    <w:p w14:paraId="0422E3C3" w14:textId="07978F79" w:rsidR="00EB5268" w:rsidRDefault="00067EC0" w:rsidP="00FB7206">
      <w:pPr>
        <w:jc w:val="center"/>
        <w:rPr>
          <w:rFonts w:ascii="Arial" w:hAnsi="Arial" w:cs="Arial"/>
          <w:b/>
          <w:bCs/>
          <w:sz w:val="44"/>
          <w:szCs w:val="44"/>
        </w:rPr>
      </w:pPr>
      <w:r w:rsidRPr="00726F9B">
        <w:rPr>
          <w:rFonts w:ascii="Arial" w:hAnsi="Arial" w:cs="Arial"/>
          <w:b/>
          <w:bCs/>
          <w:sz w:val="44"/>
          <w:szCs w:val="44"/>
        </w:rPr>
        <w:t xml:space="preserve">Contenu attendu </w:t>
      </w:r>
      <w:r w:rsidR="009A26A0" w:rsidRPr="00726F9B">
        <w:rPr>
          <w:rFonts w:ascii="Arial" w:hAnsi="Arial" w:cs="Arial"/>
          <w:b/>
          <w:bCs/>
          <w:sz w:val="44"/>
          <w:szCs w:val="44"/>
        </w:rPr>
        <w:t xml:space="preserve">de l’offre </w:t>
      </w:r>
      <w:r w:rsidR="00FB7206">
        <w:rPr>
          <w:rFonts w:ascii="Arial" w:hAnsi="Arial" w:cs="Arial"/>
          <w:b/>
          <w:bCs/>
          <w:sz w:val="44"/>
          <w:szCs w:val="44"/>
        </w:rPr>
        <w:t>technique</w:t>
      </w:r>
    </w:p>
    <w:p w14:paraId="76B39359" w14:textId="77777777" w:rsidR="000245F3" w:rsidRPr="00FB7206" w:rsidRDefault="000245F3" w:rsidP="00FB7206">
      <w:pPr>
        <w:jc w:val="center"/>
        <w:rPr>
          <w:rFonts w:ascii="Arial" w:hAnsi="Arial" w:cs="Arial"/>
          <w:b/>
          <w:bCs/>
          <w:sz w:val="44"/>
          <w:szCs w:val="44"/>
        </w:rPr>
      </w:pPr>
    </w:p>
    <w:p w14:paraId="39E3A5FC" w14:textId="77777777" w:rsidR="000245F3" w:rsidRDefault="000245F3" w:rsidP="00B86E1F">
      <w:pPr>
        <w:spacing w:after="0" w:line="240" w:lineRule="auto"/>
      </w:pPr>
    </w:p>
    <w:p w14:paraId="20F29C77" w14:textId="15A36EF0" w:rsidR="009A58F7" w:rsidRPr="000245F3" w:rsidRDefault="00EB5268" w:rsidP="00B86E1F">
      <w:pPr>
        <w:spacing w:after="0" w:line="240" w:lineRule="auto"/>
        <w:rPr>
          <w:sz w:val="24"/>
          <w:szCs w:val="24"/>
          <w:u w:val="single"/>
        </w:rPr>
      </w:pPr>
      <w:r w:rsidRPr="000245F3">
        <w:rPr>
          <w:sz w:val="24"/>
          <w:szCs w:val="24"/>
          <w:u w:val="single"/>
        </w:rPr>
        <w:t xml:space="preserve">Le candidat présente </w:t>
      </w:r>
      <w:r w:rsidR="00067EC0" w:rsidRPr="000245F3">
        <w:rPr>
          <w:sz w:val="24"/>
          <w:szCs w:val="24"/>
          <w:u w:val="single"/>
        </w:rPr>
        <w:t>son offre dans un document descriptif technique</w:t>
      </w:r>
      <w:r w:rsidR="00FB7206" w:rsidRPr="000245F3">
        <w:rPr>
          <w:sz w:val="24"/>
          <w:szCs w:val="24"/>
          <w:u w:val="single"/>
        </w:rPr>
        <w:t xml:space="preserve"> qui p</w:t>
      </w:r>
      <w:r w:rsidR="0027447A" w:rsidRPr="000245F3">
        <w:rPr>
          <w:sz w:val="24"/>
          <w:szCs w:val="24"/>
          <w:u w:val="single"/>
        </w:rPr>
        <w:t>récise</w:t>
      </w:r>
      <w:r w:rsidR="00945D8F" w:rsidRPr="000245F3">
        <w:rPr>
          <w:sz w:val="24"/>
          <w:szCs w:val="24"/>
          <w:u w:val="single"/>
        </w:rPr>
        <w:t xml:space="preserve"> au minimum</w:t>
      </w:r>
      <w:r w:rsidR="00FB7206" w:rsidRPr="000245F3">
        <w:rPr>
          <w:sz w:val="24"/>
          <w:szCs w:val="24"/>
          <w:u w:val="single"/>
        </w:rPr>
        <w:t xml:space="preserve"> : </w:t>
      </w:r>
    </w:p>
    <w:p w14:paraId="56589E11" w14:textId="77777777" w:rsidR="00B86E1F" w:rsidRDefault="00B86E1F" w:rsidP="00B86E1F">
      <w:pPr>
        <w:spacing w:after="0" w:line="240" w:lineRule="auto"/>
      </w:pPr>
    </w:p>
    <w:p w14:paraId="50AE3A7F" w14:textId="77777777" w:rsidR="000245F3" w:rsidRDefault="000245F3" w:rsidP="00B86E1F">
      <w:pPr>
        <w:spacing w:after="0" w:line="240" w:lineRule="auto"/>
        <w:rPr>
          <w:b/>
          <w:bCs/>
          <w:color w:val="4472C4" w:themeColor="accent1"/>
          <w:sz w:val="24"/>
          <w:szCs w:val="24"/>
        </w:rPr>
      </w:pPr>
    </w:p>
    <w:p w14:paraId="1C719FC5" w14:textId="6228C22E" w:rsidR="00A4340B" w:rsidRPr="000245F3" w:rsidRDefault="00FB7206" w:rsidP="00B86E1F">
      <w:pPr>
        <w:spacing w:after="0" w:line="240" w:lineRule="auto"/>
        <w:rPr>
          <w:rFonts w:ascii="Arial" w:hAnsi="Arial" w:cs="Arial"/>
          <w:b/>
          <w:bCs/>
          <w:color w:val="4472C4" w:themeColor="accent1"/>
        </w:rPr>
      </w:pPr>
      <w:r w:rsidRPr="000245F3">
        <w:rPr>
          <w:b/>
          <w:bCs/>
          <w:color w:val="4472C4" w:themeColor="accent1"/>
          <w:sz w:val="24"/>
          <w:szCs w:val="24"/>
        </w:rPr>
        <w:t>La s</w:t>
      </w:r>
      <w:r w:rsidR="009A58F7" w:rsidRPr="000245F3">
        <w:rPr>
          <w:b/>
          <w:bCs/>
          <w:color w:val="4472C4" w:themeColor="accent1"/>
          <w:sz w:val="24"/>
          <w:szCs w:val="24"/>
        </w:rPr>
        <w:t xml:space="preserve">olution de gestion et pilotage des cartes </w:t>
      </w:r>
      <w:r w:rsidR="00A4340B" w:rsidRPr="000245F3">
        <w:rPr>
          <w:rFonts w:ascii="Arial" w:hAnsi="Arial" w:cs="Arial"/>
          <w:b/>
          <w:bCs/>
          <w:color w:val="4472C4" w:themeColor="accent1"/>
        </w:rPr>
        <w:t>:</w:t>
      </w:r>
    </w:p>
    <w:p w14:paraId="7B525766" w14:textId="77777777" w:rsidR="001B41DC" w:rsidRPr="00B86E1F" w:rsidRDefault="001B41DC" w:rsidP="00B86E1F">
      <w:pPr>
        <w:spacing w:after="0" w:line="240" w:lineRule="auto"/>
        <w:rPr>
          <w:b/>
          <w:bCs/>
        </w:rPr>
      </w:pPr>
    </w:p>
    <w:p w14:paraId="17443AEC" w14:textId="61A6E0EB" w:rsidR="006B370D" w:rsidRPr="00A4340B" w:rsidRDefault="009A58F7" w:rsidP="00D90491">
      <w:pPr>
        <w:pStyle w:val="Paragraphedeliste"/>
        <w:numPr>
          <w:ilvl w:val="0"/>
          <w:numId w:val="7"/>
        </w:numPr>
        <w:autoSpaceDE w:val="0"/>
        <w:autoSpaceDN w:val="0"/>
        <w:adjustRightInd w:val="0"/>
        <w:spacing w:after="0" w:line="240" w:lineRule="auto"/>
        <w:rPr>
          <w:rFonts w:ascii="Arial" w:hAnsi="Arial" w:cs="Arial"/>
          <w:color w:val="000000"/>
          <w:sz w:val="20"/>
          <w:szCs w:val="20"/>
        </w:rPr>
      </w:pPr>
      <w:r w:rsidRPr="00A4340B">
        <w:rPr>
          <w:rFonts w:ascii="Arial" w:hAnsi="Arial" w:cs="Arial"/>
          <w:color w:val="000000"/>
          <w:sz w:val="20"/>
          <w:szCs w:val="20"/>
        </w:rPr>
        <w:t>Les</w:t>
      </w:r>
      <w:r w:rsidR="006B370D" w:rsidRPr="00A4340B">
        <w:rPr>
          <w:rFonts w:ascii="Arial" w:hAnsi="Arial" w:cs="Arial"/>
          <w:color w:val="000000"/>
          <w:sz w:val="20"/>
          <w:szCs w:val="20"/>
        </w:rPr>
        <w:t xml:space="preserve"> données nécessaires à la création et au paramétrage des cartes d’achat dans la solution de gestion et de pilotage des cartes d’achat qu’il met à disposition et les modalités de communication de ces données, en tenant compte du fait que l’IGN ne dispose pas encore de carte achat.</w:t>
      </w:r>
    </w:p>
    <w:p w14:paraId="3A4A5637" w14:textId="1F9EDD76" w:rsidR="00C51749" w:rsidRDefault="009A58F7" w:rsidP="00B86E1F">
      <w:pPr>
        <w:pStyle w:val="Paragraphedeliste"/>
        <w:numPr>
          <w:ilvl w:val="0"/>
          <w:numId w:val="1"/>
        </w:numPr>
        <w:autoSpaceDE w:val="0"/>
        <w:autoSpaceDN w:val="0"/>
        <w:adjustRightInd w:val="0"/>
        <w:spacing w:after="0" w:line="240" w:lineRule="auto"/>
        <w:rPr>
          <w:rFonts w:ascii="Arial" w:hAnsi="Arial" w:cs="Arial"/>
          <w:color w:val="000000"/>
          <w:sz w:val="20"/>
          <w:szCs w:val="20"/>
        </w:rPr>
      </w:pPr>
      <w:r w:rsidRPr="006B370D">
        <w:rPr>
          <w:rFonts w:ascii="Arial" w:hAnsi="Arial" w:cs="Arial"/>
          <w:color w:val="000000"/>
          <w:sz w:val="20"/>
          <w:szCs w:val="20"/>
        </w:rPr>
        <w:t>Les</w:t>
      </w:r>
      <w:r w:rsidR="00C51749" w:rsidRPr="006B370D">
        <w:rPr>
          <w:rFonts w:ascii="Arial" w:hAnsi="Arial" w:cs="Arial"/>
          <w:color w:val="000000"/>
          <w:sz w:val="20"/>
          <w:szCs w:val="20"/>
        </w:rPr>
        <w:t xml:space="preserve"> modalités de gestion des programmes cartes d’achat et des architectures infra (création, modification, paramétrage, désactivation), en assurant autant que possible l’autonomie des utilisateurs. </w:t>
      </w:r>
    </w:p>
    <w:p w14:paraId="65EFD87E" w14:textId="38F5EBB8" w:rsidR="00A4340B" w:rsidRDefault="00A4340B" w:rsidP="00B86E1F">
      <w:pPr>
        <w:pStyle w:val="Paragraphedeliste"/>
        <w:numPr>
          <w:ilvl w:val="0"/>
          <w:numId w:val="1"/>
        </w:num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Les modalités de fonctionnement du support utilisateur</w:t>
      </w:r>
      <w:r w:rsidR="00DB2E3E">
        <w:rPr>
          <w:rFonts w:ascii="Arial" w:hAnsi="Arial" w:cs="Arial"/>
          <w:color w:val="000000"/>
          <w:sz w:val="20"/>
          <w:szCs w:val="20"/>
        </w:rPr>
        <w:t xml:space="preserve">, de l’outil de CRM </w:t>
      </w:r>
      <w:proofErr w:type="spellStart"/>
      <w:r w:rsidR="00DB2E3E">
        <w:rPr>
          <w:rFonts w:ascii="Arial" w:hAnsi="Arial" w:cs="Arial"/>
          <w:color w:val="000000"/>
          <w:sz w:val="20"/>
          <w:szCs w:val="20"/>
        </w:rPr>
        <w:t>ticketing</w:t>
      </w:r>
      <w:proofErr w:type="spellEnd"/>
      <w:r w:rsidR="00DB2E3E">
        <w:rPr>
          <w:rFonts w:ascii="Arial" w:hAnsi="Arial" w:cs="Arial"/>
          <w:color w:val="000000"/>
          <w:sz w:val="20"/>
          <w:szCs w:val="20"/>
        </w:rPr>
        <w:t xml:space="preserve"> utilisé, les horaires de disponibilité</w:t>
      </w:r>
      <w:r w:rsidR="00E57EE4">
        <w:rPr>
          <w:rFonts w:ascii="Arial" w:hAnsi="Arial" w:cs="Arial"/>
          <w:color w:val="000000"/>
          <w:sz w:val="20"/>
          <w:szCs w:val="20"/>
        </w:rPr>
        <w:t>.</w:t>
      </w:r>
    </w:p>
    <w:p w14:paraId="695573CD" w14:textId="4D60C35E" w:rsidR="00DB2E3E" w:rsidRDefault="00DB2E3E" w:rsidP="00B86E1F">
      <w:pPr>
        <w:pStyle w:val="Paragraphedeliste"/>
        <w:numPr>
          <w:ilvl w:val="0"/>
          <w:numId w:val="1"/>
        </w:num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Les modalités du service d’opposition mis à disposition en cas de vol, perte, </w:t>
      </w:r>
      <w:r w:rsidR="00E57EE4">
        <w:rPr>
          <w:rFonts w:ascii="Arial" w:hAnsi="Arial" w:cs="Arial"/>
          <w:color w:val="000000"/>
          <w:sz w:val="20"/>
          <w:szCs w:val="20"/>
        </w:rPr>
        <w:t>etc.</w:t>
      </w:r>
    </w:p>
    <w:p w14:paraId="46C795AE" w14:textId="1DD437EF" w:rsidR="00DB2E3E" w:rsidRDefault="00DB2E3E" w:rsidP="00B86E1F">
      <w:pPr>
        <w:pStyle w:val="Paragraphedeliste"/>
        <w:numPr>
          <w:ilvl w:val="0"/>
          <w:numId w:val="1"/>
        </w:num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Le dispositif de formation des utilisateurs, les guides et didacticiels mis à disposition</w:t>
      </w:r>
      <w:r w:rsidR="00E57EE4">
        <w:rPr>
          <w:rFonts w:ascii="Arial" w:hAnsi="Arial" w:cs="Arial"/>
          <w:color w:val="000000"/>
          <w:sz w:val="20"/>
          <w:szCs w:val="20"/>
        </w:rPr>
        <w:t>.</w:t>
      </w:r>
    </w:p>
    <w:p w14:paraId="4D284D9F" w14:textId="77777777" w:rsidR="009A58F7" w:rsidRDefault="009A58F7" w:rsidP="00B86E1F">
      <w:pPr>
        <w:pStyle w:val="Paragraphedeliste"/>
        <w:numPr>
          <w:ilvl w:val="0"/>
          <w:numId w:val="1"/>
        </w:numPr>
        <w:spacing w:after="0" w:line="240" w:lineRule="auto"/>
        <w:rPr>
          <w:rFonts w:ascii="Arial" w:hAnsi="Arial" w:cs="Arial"/>
          <w:color w:val="000000"/>
          <w:sz w:val="20"/>
          <w:szCs w:val="20"/>
        </w:rPr>
      </w:pPr>
      <w:r>
        <w:rPr>
          <w:rFonts w:ascii="Arial" w:hAnsi="Arial" w:cs="Arial"/>
          <w:color w:val="000000"/>
          <w:sz w:val="20"/>
          <w:szCs w:val="20"/>
        </w:rPr>
        <w:t xml:space="preserve">La </w:t>
      </w:r>
      <w:r w:rsidRPr="002B7BC0">
        <w:rPr>
          <w:rFonts w:ascii="Arial" w:hAnsi="Arial" w:cs="Arial"/>
          <w:color w:val="000000"/>
          <w:sz w:val="20"/>
          <w:szCs w:val="20"/>
        </w:rPr>
        <w:t>solution dématérialisée de transmission sécurisée des informations et des pièces</w:t>
      </w:r>
      <w:r>
        <w:rPr>
          <w:rFonts w:ascii="Arial" w:hAnsi="Arial" w:cs="Arial"/>
          <w:color w:val="000000"/>
          <w:sz w:val="20"/>
          <w:szCs w:val="20"/>
        </w:rPr>
        <w:t xml:space="preserve"> qu’il met à disposition s</w:t>
      </w:r>
      <w:r w:rsidRPr="006B370D">
        <w:rPr>
          <w:rFonts w:ascii="Arial" w:hAnsi="Arial" w:cs="Arial"/>
          <w:color w:val="000000"/>
          <w:sz w:val="20"/>
          <w:szCs w:val="20"/>
        </w:rPr>
        <w:t>i la communication de la pièce d’identité du porteur est nécessaire à la création et à l’émission d’une carte d’achat</w:t>
      </w:r>
      <w:r>
        <w:rPr>
          <w:rFonts w:ascii="Arial" w:hAnsi="Arial" w:cs="Arial"/>
          <w:color w:val="000000"/>
          <w:sz w:val="20"/>
          <w:szCs w:val="20"/>
        </w:rPr>
        <w:t>.</w:t>
      </w:r>
      <w:r w:rsidRPr="006B370D">
        <w:rPr>
          <w:rFonts w:ascii="Arial" w:hAnsi="Arial" w:cs="Arial"/>
          <w:color w:val="000000"/>
          <w:sz w:val="20"/>
          <w:szCs w:val="20"/>
        </w:rPr>
        <w:t xml:space="preserve"> </w:t>
      </w:r>
    </w:p>
    <w:p w14:paraId="2A3F5AED" w14:textId="717284EB" w:rsidR="00A4340B" w:rsidRPr="009A58F7" w:rsidRDefault="009A58F7" w:rsidP="00B86E1F">
      <w:pPr>
        <w:pStyle w:val="Paragraphedeliste"/>
        <w:numPr>
          <w:ilvl w:val="0"/>
          <w:numId w:val="1"/>
        </w:numPr>
        <w:spacing w:after="0" w:line="240" w:lineRule="auto"/>
        <w:rPr>
          <w:rFonts w:ascii="Arial" w:hAnsi="Arial" w:cs="Arial"/>
          <w:color w:val="000000"/>
          <w:sz w:val="20"/>
          <w:szCs w:val="20"/>
        </w:rPr>
      </w:pPr>
      <w:r w:rsidRPr="008325E6">
        <w:rPr>
          <w:rFonts w:ascii="Arial" w:hAnsi="Arial" w:cs="Arial"/>
          <w:color w:val="000000"/>
          <w:sz w:val="20"/>
          <w:szCs w:val="20"/>
        </w:rPr>
        <w:t>Les seuils techniques acceptés par la solution de gestion et de pilotage des cartes (montant de dépense maximum par transaction, par jour)</w:t>
      </w:r>
      <w:r w:rsidR="00E57EE4">
        <w:rPr>
          <w:rFonts w:ascii="Arial" w:hAnsi="Arial" w:cs="Arial"/>
          <w:color w:val="000000"/>
          <w:sz w:val="20"/>
          <w:szCs w:val="20"/>
        </w:rPr>
        <w:t>.</w:t>
      </w:r>
      <w:r w:rsidRPr="008325E6">
        <w:rPr>
          <w:rFonts w:ascii="Arial" w:hAnsi="Arial" w:cs="Arial"/>
          <w:color w:val="000000"/>
          <w:sz w:val="20"/>
          <w:szCs w:val="20"/>
        </w:rPr>
        <w:t xml:space="preserve"> </w:t>
      </w:r>
    </w:p>
    <w:p w14:paraId="7C337559" w14:textId="32974FE3" w:rsidR="00A4340B" w:rsidRDefault="009A58F7" w:rsidP="00B86E1F">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Il </w:t>
      </w:r>
      <w:r w:rsidR="00FB7206">
        <w:rPr>
          <w:rFonts w:ascii="Arial" w:hAnsi="Arial" w:cs="Arial"/>
          <w:color w:val="000000"/>
          <w:sz w:val="20"/>
          <w:szCs w:val="20"/>
        </w:rPr>
        <w:t>précise</w:t>
      </w:r>
      <w:r>
        <w:rPr>
          <w:rFonts w:ascii="Arial" w:hAnsi="Arial" w:cs="Arial"/>
          <w:color w:val="000000"/>
          <w:sz w:val="20"/>
          <w:szCs w:val="20"/>
        </w:rPr>
        <w:t xml:space="preserve"> ses</w:t>
      </w:r>
      <w:r w:rsidR="00A4340B">
        <w:rPr>
          <w:rFonts w:ascii="Arial" w:hAnsi="Arial" w:cs="Arial"/>
          <w:color w:val="000000"/>
          <w:sz w:val="20"/>
          <w:szCs w:val="20"/>
        </w:rPr>
        <w:t xml:space="preserve"> délais : </w:t>
      </w:r>
    </w:p>
    <w:p w14:paraId="3442FAF4" w14:textId="516214F2" w:rsidR="00FB7206" w:rsidRPr="00FB7206" w:rsidRDefault="00FB7206" w:rsidP="00FB7206">
      <w:pPr>
        <w:pStyle w:val="Paragraphedeliste"/>
        <w:numPr>
          <w:ilvl w:val="0"/>
          <w:numId w:val="6"/>
        </w:numPr>
        <w:autoSpaceDE w:val="0"/>
        <w:autoSpaceDN w:val="0"/>
        <w:adjustRightInd w:val="0"/>
        <w:spacing w:after="0" w:line="240" w:lineRule="auto"/>
        <w:rPr>
          <w:rFonts w:ascii="Arial" w:hAnsi="Arial" w:cs="Arial"/>
          <w:color w:val="000000"/>
          <w:sz w:val="20"/>
          <w:szCs w:val="20"/>
        </w:rPr>
      </w:pPr>
      <w:r w:rsidRPr="00FB7206">
        <w:rPr>
          <w:rFonts w:ascii="Arial" w:hAnsi="Arial" w:cs="Arial"/>
          <w:color w:val="000000"/>
          <w:sz w:val="20"/>
          <w:szCs w:val="20"/>
        </w:rPr>
        <w:t>Le</w:t>
      </w:r>
      <w:r>
        <w:rPr>
          <w:rFonts w:ascii="Arial" w:hAnsi="Arial" w:cs="Arial"/>
          <w:color w:val="000000"/>
          <w:sz w:val="20"/>
          <w:szCs w:val="20"/>
        </w:rPr>
        <w:t xml:space="preserve"> détail des</w:t>
      </w:r>
      <w:r w:rsidRPr="00FB7206">
        <w:rPr>
          <w:rFonts w:ascii="Arial" w:hAnsi="Arial" w:cs="Arial"/>
          <w:color w:val="000000"/>
          <w:sz w:val="20"/>
          <w:szCs w:val="20"/>
        </w:rPr>
        <w:t xml:space="preserve"> délais de mise en place de la carte achat en phase de déploiement</w:t>
      </w:r>
      <w:r w:rsidR="00E57EE4">
        <w:rPr>
          <w:rFonts w:ascii="Arial" w:hAnsi="Arial" w:cs="Arial"/>
          <w:color w:val="000000"/>
          <w:sz w:val="20"/>
          <w:szCs w:val="20"/>
        </w:rPr>
        <w:t>.</w:t>
      </w:r>
    </w:p>
    <w:p w14:paraId="353BB9EB" w14:textId="3ACA5F35" w:rsidR="00EB5268" w:rsidRPr="006B370D" w:rsidRDefault="009A58F7" w:rsidP="00B86E1F">
      <w:pPr>
        <w:pStyle w:val="Paragraphedeliste"/>
        <w:numPr>
          <w:ilvl w:val="0"/>
          <w:numId w:val="1"/>
        </w:numPr>
        <w:spacing w:after="0" w:line="240" w:lineRule="auto"/>
        <w:rPr>
          <w:rFonts w:ascii="Arial" w:hAnsi="Arial" w:cs="Arial"/>
          <w:color w:val="000000"/>
          <w:sz w:val="20"/>
          <w:szCs w:val="20"/>
        </w:rPr>
      </w:pPr>
      <w:r w:rsidRPr="006B370D">
        <w:rPr>
          <w:rFonts w:ascii="Arial" w:hAnsi="Arial" w:cs="Arial"/>
          <w:color w:val="000000"/>
          <w:sz w:val="20"/>
          <w:szCs w:val="20"/>
        </w:rPr>
        <w:t>Le</w:t>
      </w:r>
      <w:r w:rsidR="00C51749" w:rsidRPr="006B370D">
        <w:rPr>
          <w:rFonts w:ascii="Arial" w:hAnsi="Arial" w:cs="Arial"/>
          <w:color w:val="000000"/>
          <w:sz w:val="20"/>
          <w:szCs w:val="20"/>
        </w:rPr>
        <w:t xml:space="preserve"> délai dans lequel les actions paramétrées directement par les agents sont opérationnelles suivant la saisie. S’agissant des actions demandées au titulaire, ce dernier s’engage dans son offre sur les délais de réalisation</w:t>
      </w:r>
      <w:r w:rsidR="00E57EE4">
        <w:rPr>
          <w:rFonts w:ascii="Arial" w:hAnsi="Arial" w:cs="Arial"/>
          <w:color w:val="000000"/>
          <w:sz w:val="20"/>
          <w:szCs w:val="20"/>
        </w:rPr>
        <w:t>.</w:t>
      </w:r>
    </w:p>
    <w:p w14:paraId="678AA1D8" w14:textId="00B33F30" w:rsidR="00B23BB8" w:rsidRPr="006B370D" w:rsidRDefault="00B23BB8" w:rsidP="00B86E1F">
      <w:pPr>
        <w:pStyle w:val="Paragraphedeliste"/>
        <w:numPr>
          <w:ilvl w:val="0"/>
          <w:numId w:val="1"/>
        </w:numPr>
        <w:spacing w:after="0" w:line="240" w:lineRule="auto"/>
        <w:rPr>
          <w:rFonts w:ascii="Arial" w:hAnsi="Arial" w:cs="Arial"/>
          <w:color w:val="000000"/>
          <w:sz w:val="20"/>
          <w:szCs w:val="20"/>
        </w:rPr>
      </w:pPr>
      <w:r w:rsidRPr="006B370D">
        <w:rPr>
          <w:rFonts w:ascii="Arial" w:hAnsi="Arial" w:cs="Arial"/>
          <w:color w:val="000000"/>
          <w:sz w:val="20"/>
          <w:szCs w:val="20"/>
        </w:rPr>
        <w:t>Le délai en jours ouvrés de création d’un programme</w:t>
      </w:r>
      <w:r w:rsidR="00E57EE4">
        <w:rPr>
          <w:rFonts w:ascii="Arial" w:hAnsi="Arial" w:cs="Arial"/>
          <w:color w:val="000000"/>
          <w:sz w:val="20"/>
          <w:szCs w:val="20"/>
        </w:rPr>
        <w:t>.</w:t>
      </w:r>
    </w:p>
    <w:p w14:paraId="1CD5415B" w14:textId="778BBA20" w:rsidR="006B370D" w:rsidRDefault="006B370D" w:rsidP="00B86E1F">
      <w:pPr>
        <w:pStyle w:val="Paragraphedeliste"/>
        <w:numPr>
          <w:ilvl w:val="0"/>
          <w:numId w:val="1"/>
        </w:numPr>
        <w:spacing w:after="0" w:line="240" w:lineRule="auto"/>
        <w:rPr>
          <w:rFonts w:ascii="Arial" w:hAnsi="Arial" w:cs="Arial"/>
          <w:color w:val="000000"/>
          <w:sz w:val="20"/>
          <w:szCs w:val="20"/>
        </w:rPr>
      </w:pPr>
      <w:r w:rsidRPr="006B370D">
        <w:rPr>
          <w:rFonts w:ascii="Arial" w:hAnsi="Arial" w:cs="Arial"/>
          <w:color w:val="000000"/>
          <w:sz w:val="20"/>
          <w:szCs w:val="20"/>
        </w:rPr>
        <w:t>Le délai d’émission d’une nouvelle carte achat à réception de la demande (maximum 5 jours ouvrés)</w:t>
      </w:r>
      <w:r w:rsidR="00E57EE4">
        <w:rPr>
          <w:rFonts w:ascii="Arial" w:hAnsi="Arial" w:cs="Arial"/>
          <w:color w:val="000000"/>
          <w:sz w:val="20"/>
          <w:szCs w:val="20"/>
        </w:rPr>
        <w:t>.</w:t>
      </w:r>
    </w:p>
    <w:p w14:paraId="69639A5E" w14:textId="5C6688FA" w:rsidR="00C51749" w:rsidRDefault="009A58F7" w:rsidP="00B86E1F">
      <w:pPr>
        <w:pStyle w:val="Paragraphedeliste"/>
        <w:numPr>
          <w:ilvl w:val="0"/>
          <w:numId w:val="1"/>
        </w:numPr>
        <w:spacing w:after="0" w:line="240" w:lineRule="auto"/>
        <w:rPr>
          <w:rFonts w:ascii="Arial" w:hAnsi="Arial" w:cs="Arial"/>
          <w:color w:val="000000"/>
          <w:sz w:val="20"/>
          <w:szCs w:val="20"/>
        </w:rPr>
      </w:pPr>
      <w:r w:rsidRPr="006B370D">
        <w:rPr>
          <w:rFonts w:ascii="Arial" w:hAnsi="Arial" w:cs="Arial"/>
          <w:color w:val="000000"/>
          <w:sz w:val="20"/>
          <w:szCs w:val="20"/>
        </w:rPr>
        <w:t>Le</w:t>
      </w:r>
      <w:r w:rsidR="00C51749" w:rsidRPr="006B370D">
        <w:rPr>
          <w:rFonts w:ascii="Arial" w:hAnsi="Arial" w:cs="Arial"/>
          <w:color w:val="000000"/>
          <w:sz w:val="20"/>
          <w:szCs w:val="20"/>
        </w:rPr>
        <w:t xml:space="preserve"> délai </w:t>
      </w:r>
      <w:r w:rsidR="00B23BB8" w:rsidRPr="006B370D">
        <w:rPr>
          <w:rFonts w:ascii="Arial" w:hAnsi="Arial" w:cs="Arial"/>
          <w:color w:val="000000"/>
          <w:sz w:val="20"/>
          <w:szCs w:val="20"/>
        </w:rPr>
        <w:t xml:space="preserve">en jours ouvrés ou en heures ouvrées </w:t>
      </w:r>
      <w:r w:rsidR="00C51749" w:rsidRPr="006B370D">
        <w:rPr>
          <w:rFonts w:ascii="Arial" w:hAnsi="Arial" w:cs="Arial"/>
          <w:color w:val="000000"/>
          <w:sz w:val="20"/>
          <w:szCs w:val="20"/>
        </w:rPr>
        <w:t>dans lequel les paramétrages effectués directement par les agents habilités dans l’application sont opérationnelles et le délai de réalisation en jours ouvrés ou en heures ouvrées sur lequel il s’engage pour paramétrer les actions qui lui sont demandées.</w:t>
      </w:r>
    </w:p>
    <w:p w14:paraId="727F5852" w14:textId="77777777" w:rsidR="00A721C9" w:rsidRDefault="00A721C9" w:rsidP="00A721C9">
      <w:pPr>
        <w:spacing w:after="0" w:line="240" w:lineRule="auto"/>
        <w:rPr>
          <w:rFonts w:ascii="Arial" w:hAnsi="Arial" w:cs="Arial"/>
          <w:color w:val="000000"/>
          <w:sz w:val="20"/>
          <w:szCs w:val="20"/>
        </w:rPr>
      </w:pPr>
    </w:p>
    <w:p w14:paraId="29A54B47" w14:textId="4545A674" w:rsidR="006B0D11" w:rsidRDefault="006B0D11" w:rsidP="006B0D11">
      <w:pPr>
        <w:spacing w:after="0" w:line="240" w:lineRule="auto"/>
        <w:rPr>
          <w:rFonts w:ascii="Arial" w:hAnsi="Arial" w:cs="Arial"/>
          <w:color w:val="000000"/>
          <w:sz w:val="20"/>
          <w:szCs w:val="20"/>
        </w:rPr>
      </w:pPr>
    </w:p>
    <w:p w14:paraId="1C0F8ACE" w14:textId="3C74E7C4" w:rsidR="006B0D11" w:rsidRDefault="006B0D11" w:rsidP="006B0D11">
      <w:pPr>
        <w:spacing w:after="0" w:line="240" w:lineRule="auto"/>
        <w:rPr>
          <w:b/>
          <w:bCs/>
          <w:color w:val="4472C4" w:themeColor="accent1"/>
          <w:sz w:val="24"/>
          <w:szCs w:val="24"/>
        </w:rPr>
      </w:pPr>
      <w:r w:rsidRPr="00D90491">
        <w:rPr>
          <w:b/>
          <w:bCs/>
          <w:color w:val="4472C4" w:themeColor="accent1"/>
          <w:sz w:val="24"/>
          <w:szCs w:val="24"/>
        </w:rPr>
        <w:t>Considération</w:t>
      </w:r>
      <w:r w:rsidR="00BF5F91">
        <w:rPr>
          <w:b/>
          <w:bCs/>
          <w:color w:val="4472C4" w:themeColor="accent1"/>
          <w:sz w:val="24"/>
          <w:szCs w:val="24"/>
        </w:rPr>
        <w:t>s</w:t>
      </w:r>
      <w:r w:rsidRPr="00D90491">
        <w:rPr>
          <w:b/>
          <w:bCs/>
          <w:color w:val="4472C4" w:themeColor="accent1"/>
          <w:sz w:val="24"/>
          <w:szCs w:val="24"/>
        </w:rPr>
        <w:t xml:space="preserve"> environnementale</w:t>
      </w:r>
      <w:r w:rsidR="00BF5F91">
        <w:rPr>
          <w:b/>
          <w:bCs/>
          <w:color w:val="4472C4" w:themeColor="accent1"/>
          <w:sz w:val="24"/>
          <w:szCs w:val="24"/>
        </w:rPr>
        <w:t>s</w:t>
      </w:r>
      <w:r w:rsidR="001B4199" w:rsidRPr="00D90491">
        <w:rPr>
          <w:b/>
          <w:bCs/>
          <w:color w:val="4472C4" w:themeColor="accent1"/>
          <w:sz w:val="24"/>
          <w:szCs w:val="24"/>
        </w:rPr>
        <w:t> :</w:t>
      </w:r>
    </w:p>
    <w:p w14:paraId="27A80E9B" w14:textId="77777777" w:rsidR="00D90491" w:rsidRPr="00D90491" w:rsidRDefault="00D90491" w:rsidP="006B0D11">
      <w:pPr>
        <w:spacing w:after="0" w:line="240" w:lineRule="auto"/>
        <w:rPr>
          <w:b/>
          <w:bCs/>
          <w:color w:val="4472C4" w:themeColor="accent1"/>
          <w:sz w:val="24"/>
          <w:szCs w:val="24"/>
        </w:rPr>
      </w:pPr>
    </w:p>
    <w:p w14:paraId="5AD5D3A8" w14:textId="6BEC1D99" w:rsidR="00D90491" w:rsidRDefault="001B4199" w:rsidP="006B0D11">
      <w:pPr>
        <w:spacing w:after="0" w:line="240" w:lineRule="auto"/>
        <w:rPr>
          <w:rFonts w:ascii="Arial" w:hAnsi="Arial" w:cs="Arial"/>
          <w:color w:val="000000"/>
          <w:sz w:val="20"/>
          <w:szCs w:val="20"/>
        </w:rPr>
      </w:pPr>
      <w:r>
        <w:rPr>
          <w:rFonts w:ascii="Arial" w:hAnsi="Arial" w:cs="Arial"/>
          <w:color w:val="000000"/>
          <w:sz w:val="20"/>
          <w:szCs w:val="20"/>
        </w:rPr>
        <w:t>Le prestataire expliquera</w:t>
      </w:r>
      <w:r w:rsidR="00D90491">
        <w:rPr>
          <w:rFonts w:ascii="Arial" w:hAnsi="Arial" w:cs="Arial"/>
          <w:color w:val="000000"/>
          <w:sz w:val="20"/>
          <w:szCs w:val="20"/>
        </w:rPr>
        <w:t xml:space="preserve"> les modalités de réduction de l’impact environnemental du déploiement de la carte achat.</w:t>
      </w:r>
    </w:p>
    <w:p w14:paraId="278F1CFE" w14:textId="28076D69" w:rsidR="00D90491" w:rsidRDefault="00D90491" w:rsidP="006B0D11">
      <w:pPr>
        <w:spacing w:after="0" w:line="240" w:lineRule="auto"/>
        <w:rPr>
          <w:rFonts w:ascii="Arial" w:hAnsi="Arial" w:cs="Arial"/>
          <w:color w:val="000000"/>
          <w:sz w:val="20"/>
          <w:szCs w:val="20"/>
        </w:rPr>
      </w:pPr>
      <w:r>
        <w:rPr>
          <w:rFonts w:ascii="Arial" w:hAnsi="Arial" w:cs="Arial"/>
          <w:color w:val="000000"/>
          <w:sz w:val="20"/>
          <w:szCs w:val="20"/>
        </w:rPr>
        <w:t>Les propositions détaillées seront effectuées dans le cadre de l’article 6.4 du CCP.</w:t>
      </w:r>
    </w:p>
    <w:p w14:paraId="54520A9E" w14:textId="467C369D" w:rsidR="00FB7206" w:rsidRDefault="00FB7206" w:rsidP="00FB7206">
      <w:pPr>
        <w:spacing w:after="0" w:line="240" w:lineRule="auto"/>
        <w:rPr>
          <w:rFonts w:ascii="Arial" w:hAnsi="Arial" w:cs="Arial"/>
          <w:color w:val="000000"/>
          <w:sz w:val="20"/>
          <w:szCs w:val="20"/>
        </w:rPr>
      </w:pPr>
    </w:p>
    <w:p w14:paraId="6CDE23CA" w14:textId="77777777" w:rsidR="00D90491" w:rsidRPr="00FB7206" w:rsidRDefault="00D90491" w:rsidP="00FB7206">
      <w:pPr>
        <w:spacing w:after="0" w:line="240" w:lineRule="auto"/>
        <w:rPr>
          <w:rFonts w:ascii="Arial" w:hAnsi="Arial" w:cs="Arial"/>
          <w:color w:val="000000"/>
          <w:sz w:val="20"/>
          <w:szCs w:val="20"/>
        </w:rPr>
      </w:pPr>
    </w:p>
    <w:p w14:paraId="298B34EB" w14:textId="1C6D8C87" w:rsidR="00B86E1F" w:rsidRDefault="00B86E1F" w:rsidP="00B86E1F">
      <w:pPr>
        <w:spacing w:after="0" w:line="240" w:lineRule="auto"/>
        <w:rPr>
          <w:rFonts w:ascii="Arial" w:hAnsi="Arial" w:cs="Arial"/>
          <w:color w:val="000000"/>
          <w:sz w:val="20"/>
          <w:szCs w:val="20"/>
        </w:rPr>
      </w:pPr>
    </w:p>
    <w:p w14:paraId="6ECBD66E" w14:textId="534018FE" w:rsidR="00B86E1F" w:rsidRPr="000245F3" w:rsidRDefault="00FB7206" w:rsidP="00B86E1F">
      <w:pPr>
        <w:spacing w:after="0" w:line="240" w:lineRule="auto"/>
        <w:rPr>
          <w:b/>
          <w:bCs/>
          <w:color w:val="4472C4" w:themeColor="accent1"/>
          <w:sz w:val="24"/>
          <w:szCs w:val="24"/>
        </w:rPr>
      </w:pPr>
      <w:r w:rsidRPr="000245F3">
        <w:rPr>
          <w:b/>
          <w:bCs/>
          <w:color w:val="4472C4" w:themeColor="accent1"/>
          <w:sz w:val="24"/>
          <w:szCs w:val="24"/>
        </w:rPr>
        <w:lastRenderedPageBreak/>
        <w:t>Les spécificités de p</w:t>
      </w:r>
      <w:r w:rsidR="00B86E1F" w:rsidRPr="000245F3">
        <w:rPr>
          <w:b/>
          <w:bCs/>
          <w:color w:val="4472C4" w:themeColor="accent1"/>
          <w:sz w:val="24"/>
          <w:szCs w:val="24"/>
        </w:rPr>
        <w:t>aiement</w:t>
      </w:r>
      <w:r w:rsidR="00E57EE4" w:rsidRPr="000245F3">
        <w:rPr>
          <w:b/>
          <w:bCs/>
          <w:color w:val="4472C4" w:themeColor="accent1"/>
          <w:sz w:val="24"/>
          <w:szCs w:val="24"/>
        </w:rPr>
        <w:t xml:space="preserve"> </w:t>
      </w:r>
      <w:r w:rsidR="001B41DC" w:rsidRPr="000245F3">
        <w:rPr>
          <w:b/>
          <w:bCs/>
          <w:color w:val="4472C4" w:themeColor="accent1"/>
          <w:sz w:val="24"/>
          <w:szCs w:val="24"/>
        </w:rPr>
        <w:t xml:space="preserve">des fournisseurs par l’établissement de crédit et </w:t>
      </w:r>
      <w:r w:rsidR="00AD6615" w:rsidRPr="000245F3">
        <w:rPr>
          <w:b/>
          <w:bCs/>
          <w:color w:val="4472C4" w:themeColor="accent1"/>
          <w:sz w:val="24"/>
          <w:szCs w:val="24"/>
        </w:rPr>
        <w:t xml:space="preserve">de paiement </w:t>
      </w:r>
      <w:r w:rsidR="001B41DC" w:rsidRPr="000245F3">
        <w:rPr>
          <w:b/>
          <w:bCs/>
          <w:color w:val="4472C4" w:themeColor="accent1"/>
          <w:sz w:val="24"/>
          <w:szCs w:val="24"/>
        </w:rPr>
        <w:t>des relevés d’opération par l’IGN</w:t>
      </w:r>
      <w:r w:rsidR="00E57EE4" w:rsidRPr="000245F3">
        <w:rPr>
          <w:b/>
          <w:bCs/>
          <w:color w:val="4472C4" w:themeColor="accent1"/>
          <w:sz w:val="24"/>
          <w:szCs w:val="24"/>
        </w:rPr>
        <w:t> </w:t>
      </w:r>
      <w:r w:rsidR="00B86E1F" w:rsidRPr="000245F3">
        <w:rPr>
          <w:b/>
          <w:bCs/>
          <w:color w:val="4472C4" w:themeColor="accent1"/>
          <w:sz w:val="24"/>
          <w:szCs w:val="24"/>
        </w:rPr>
        <w:t xml:space="preserve">: </w:t>
      </w:r>
    </w:p>
    <w:p w14:paraId="14219B38" w14:textId="77777777" w:rsidR="0027447A" w:rsidRDefault="0027447A" w:rsidP="00B86E1F">
      <w:pPr>
        <w:spacing w:after="0" w:line="240" w:lineRule="auto"/>
        <w:rPr>
          <w:rFonts w:ascii="Arial" w:hAnsi="Arial" w:cs="Arial"/>
          <w:b/>
          <w:bCs/>
          <w:color w:val="000000"/>
          <w:sz w:val="20"/>
          <w:szCs w:val="20"/>
        </w:rPr>
      </w:pPr>
    </w:p>
    <w:p w14:paraId="2E484766" w14:textId="79541137" w:rsidR="001B41DC" w:rsidRPr="001B41DC" w:rsidRDefault="001B41DC" w:rsidP="00B86E1F">
      <w:pPr>
        <w:spacing w:after="0" w:line="240" w:lineRule="auto"/>
        <w:rPr>
          <w:rFonts w:ascii="Arial" w:hAnsi="Arial" w:cs="Arial"/>
          <w:color w:val="000000"/>
          <w:sz w:val="20"/>
          <w:szCs w:val="20"/>
        </w:rPr>
      </w:pPr>
      <w:r w:rsidRPr="001B41DC">
        <w:rPr>
          <w:rFonts w:ascii="Arial" w:hAnsi="Arial" w:cs="Arial"/>
          <w:color w:val="000000"/>
          <w:sz w:val="20"/>
          <w:szCs w:val="20"/>
        </w:rPr>
        <w:t>Le prestataire indique le délai</w:t>
      </w:r>
      <w:r w:rsidR="00AD6615">
        <w:rPr>
          <w:rFonts w:ascii="Arial" w:hAnsi="Arial" w:cs="Arial"/>
          <w:color w:val="000000"/>
          <w:sz w:val="20"/>
          <w:szCs w:val="20"/>
        </w:rPr>
        <w:t xml:space="preserve"> maximal </w:t>
      </w:r>
      <w:r w:rsidR="001D3EA8">
        <w:rPr>
          <w:rFonts w:ascii="Arial" w:hAnsi="Arial" w:cs="Arial"/>
          <w:color w:val="000000"/>
          <w:sz w:val="20"/>
          <w:szCs w:val="20"/>
        </w:rPr>
        <w:t>après réalisation des prestations</w:t>
      </w:r>
      <w:r w:rsidR="001D3EA8" w:rsidRPr="001B41DC">
        <w:rPr>
          <w:rFonts w:ascii="Arial" w:hAnsi="Arial" w:cs="Arial"/>
          <w:color w:val="000000"/>
          <w:sz w:val="20"/>
          <w:szCs w:val="20"/>
        </w:rPr>
        <w:t xml:space="preserve"> </w:t>
      </w:r>
      <w:r w:rsidRPr="001B41DC">
        <w:rPr>
          <w:rFonts w:ascii="Arial" w:hAnsi="Arial" w:cs="Arial"/>
          <w:color w:val="000000"/>
          <w:sz w:val="20"/>
          <w:szCs w:val="20"/>
        </w:rPr>
        <w:t>dans lequel il</w:t>
      </w:r>
      <w:r w:rsidR="001D3EA8">
        <w:rPr>
          <w:rFonts w:ascii="Arial" w:hAnsi="Arial" w:cs="Arial"/>
          <w:color w:val="000000"/>
          <w:sz w:val="20"/>
          <w:szCs w:val="20"/>
        </w:rPr>
        <w:t xml:space="preserve"> honore le paiement des sommes demandées par</w:t>
      </w:r>
      <w:r w:rsidRPr="001B41DC">
        <w:rPr>
          <w:rFonts w:ascii="Arial" w:hAnsi="Arial" w:cs="Arial"/>
          <w:color w:val="000000"/>
          <w:sz w:val="20"/>
          <w:szCs w:val="20"/>
        </w:rPr>
        <w:t xml:space="preserve"> les fournisseurs</w:t>
      </w:r>
      <w:r w:rsidR="0027447A">
        <w:rPr>
          <w:rFonts w:ascii="Arial" w:hAnsi="Arial" w:cs="Arial"/>
          <w:color w:val="000000"/>
          <w:sz w:val="20"/>
          <w:szCs w:val="20"/>
        </w:rPr>
        <w:t xml:space="preserve"> (télécollecte)</w:t>
      </w:r>
      <w:r w:rsidRPr="001B41DC">
        <w:rPr>
          <w:rFonts w:ascii="Arial" w:hAnsi="Arial" w:cs="Arial"/>
          <w:color w:val="000000"/>
          <w:sz w:val="20"/>
          <w:szCs w:val="20"/>
        </w:rPr>
        <w:t xml:space="preserve"> auprès de qui la carte achat </w:t>
      </w:r>
      <w:r w:rsidR="00AD6615">
        <w:rPr>
          <w:rFonts w:ascii="Arial" w:hAnsi="Arial" w:cs="Arial"/>
          <w:color w:val="000000"/>
          <w:sz w:val="20"/>
          <w:szCs w:val="20"/>
        </w:rPr>
        <w:t>a été</w:t>
      </w:r>
      <w:r w:rsidRPr="001B41DC">
        <w:rPr>
          <w:rFonts w:ascii="Arial" w:hAnsi="Arial" w:cs="Arial"/>
          <w:color w:val="000000"/>
          <w:sz w:val="20"/>
          <w:szCs w:val="20"/>
        </w:rPr>
        <w:t xml:space="preserve"> utilisée.</w:t>
      </w:r>
    </w:p>
    <w:p w14:paraId="5941B33B" w14:textId="77777777" w:rsidR="0027447A" w:rsidRDefault="0027447A" w:rsidP="00B86E1F">
      <w:pPr>
        <w:spacing w:after="0" w:line="240" w:lineRule="auto"/>
        <w:rPr>
          <w:rFonts w:ascii="Arial" w:hAnsi="Arial" w:cs="Arial"/>
          <w:color w:val="000000"/>
          <w:sz w:val="20"/>
          <w:szCs w:val="20"/>
        </w:rPr>
      </w:pPr>
    </w:p>
    <w:p w14:paraId="4A103A42" w14:textId="684C7C19" w:rsidR="00B86E1F" w:rsidRPr="00FB7206" w:rsidRDefault="00B86E1F" w:rsidP="00B86E1F">
      <w:pPr>
        <w:spacing w:after="0" w:line="240" w:lineRule="auto"/>
        <w:rPr>
          <w:rFonts w:ascii="Arial" w:hAnsi="Arial" w:cs="Arial"/>
          <w:color w:val="000000"/>
          <w:sz w:val="20"/>
          <w:szCs w:val="20"/>
        </w:rPr>
      </w:pPr>
      <w:r w:rsidRPr="00B86E1F">
        <w:rPr>
          <w:rFonts w:ascii="Arial" w:hAnsi="Arial" w:cs="Arial"/>
          <w:color w:val="000000"/>
          <w:sz w:val="20"/>
          <w:szCs w:val="20"/>
        </w:rPr>
        <w:t xml:space="preserve">L’offre </w:t>
      </w:r>
      <w:r>
        <w:rPr>
          <w:rFonts w:ascii="Arial" w:hAnsi="Arial" w:cs="Arial"/>
          <w:color w:val="000000"/>
          <w:sz w:val="20"/>
          <w:szCs w:val="20"/>
        </w:rPr>
        <w:t xml:space="preserve">complète si besoin </w:t>
      </w:r>
      <w:r w:rsidRPr="00B86E1F">
        <w:rPr>
          <w:rFonts w:ascii="Arial" w:hAnsi="Arial" w:cs="Arial"/>
          <w:color w:val="000000"/>
          <w:sz w:val="20"/>
          <w:szCs w:val="20"/>
        </w:rPr>
        <w:t>la</w:t>
      </w:r>
      <w:r w:rsidR="002167B9">
        <w:rPr>
          <w:rFonts w:ascii="Arial" w:hAnsi="Arial" w:cs="Arial"/>
          <w:color w:val="000000"/>
          <w:sz w:val="20"/>
          <w:szCs w:val="20"/>
        </w:rPr>
        <w:t xml:space="preserve"> description des caractéristiques</w:t>
      </w:r>
      <w:r w:rsidRPr="00B86E1F">
        <w:rPr>
          <w:rFonts w:ascii="Arial" w:hAnsi="Arial" w:cs="Arial"/>
          <w:color w:val="000000"/>
          <w:sz w:val="20"/>
          <w:szCs w:val="20"/>
        </w:rPr>
        <w:t xml:space="preserve"> de</w:t>
      </w:r>
      <w:r>
        <w:rPr>
          <w:rFonts w:ascii="Arial" w:hAnsi="Arial" w:cs="Arial"/>
          <w:color w:val="000000"/>
          <w:sz w:val="20"/>
          <w:szCs w:val="20"/>
        </w:rPr>
        <w:t xml:space="preserve"> ses</w:t>
      </w:r>
      <w:r w:rsidRPr="00B86E1F">
        <w:rPr>
          <w:rFonts w:ascii="Arial" w:hAnsi="Arial" w:cs="Arial"/>
          <w:color w:val="000000"/>
          <w:sz w:val="20"/>
          <w:szCs w:val="20"/>
        </w:rPr>
        <w:t xml:space="preserve"> relevés d’opérations</w:t>
      </w:r>
      <w:r>
        <w:rPr>
          <w:rFonts w:ascii="Arial" w:hAnsi="Arial" w:cs="Arial"/>
          <w:color w:val="000000"/>
          <w:sz w:val="20"/>
          <w:szCs w:val="20"/>
        </w:rPr>
        <w:t xml:space="preserve"> mensuels et les modalités de mise à disposition.</w:t>
      </w:r>
    </w:p>
    <w:p w14:paraId="474E149A" w14:textId="3C4FCB71" w:rsidR="00E74F3D" w:rsidRDefault="00FB7206" w:rsidP="00B86E1F">
      <w:pPr>
        <w:spacing w:after="0" w:line="240" w:lineRule="auto"/>
        <w:rPr>
          <w:rFonts w:ascii="Arial" w:hAnsi="Arial" w:cs="Arial"/>
          <w:color w:val="000000"/>
          <w:sz w:val="20"/>
          <w:szCs w:val="20"/>
        </w:rPr>
      </w:pPr>
      <w:r>
        <w:rPr>
          <w:rFonts w:ascii="Arial" w:hAnsi="Arial" w:cs="Arial"/>
          <w:color w:val="000000"/>
          <w:sz w:val="20"/>
          <w:szCs w:val="20"/>
        </w:rPr>
        <w:t xml:space="preserve">Elle </w:t>
      </w:r>
      <w:r w:rsidR="009A58F7">
        <w:rPr>
          <w:rFonts w:ascii="Arial" w:hAnsi="Arial" w:cs="Arial"/>
          <w:color w:val="000000"/>
          <w:sz w:val="20"/>
          <w:szCs w:val="20"/>
        </w:rPr>
        <w:t>précise pour le p</w:t>
      </w:r>
      <w:r w:rsidR="00E74F3D">
        <w:rPr>
          <w:rFonts w:ascii="Arial" w:hAnsi="Arial" w:cs="Arial"/>
          <w:color w:val="000000"/>
          <w:sz w:val="20"/>
          <w:szCs w:val="20"/>
        </w:rPr>
        <w:t>aiement des relevés</w:t>
      </w:r>
      <w:r w:rsidR="00E57EE4">
        <w:rPr>
          <w:rFonts w:ascii="Arial" w:hAnsi="Arial" w:cs="Arial"/>
          <w:color w:val="000000"/>
          <w:sz w:val="20"/>
          <w:szCs w:val="20"/>
        </w:rPr>
        <w:t xml:space="preserve"> </w:t>
      </w:r>
      <w:r w:rsidR="00E74F3D">
        <w:rPr>
          <w:rFonts w:ascii="Arial" w:hAnsi="Arial" w:cs="Arial"/>
          <w:color w:val="000000"/>
          <w:sz w:val="20"/>
          <w:szCs w:val="20"/>
        </w:rPr>
        <w:t xml:space="preserve">2 seuils en cas de retard de paiement : </w:t>
      </w:r>
    </w:p>
    <w:p w14:paraId="66693644" w14:textId="3D9FB80E" w:rsidR="00E74F3D" w:rsidRPr="00E74F3D" w:rsidRDefault="009A58F7" w:rsidP="00B86E1F">
      <w:pPr>
        <w:pStyle w:val="Paragraphedeliste"/>
        <w:numPr>
          <w:ilvl w:val="0"/>
          <w:numId w:val="2"/>
        </w:numPr>
        <w:spacing w:after="0" w:line="240" w:lineRule="auto"/>
        <w:rPr>
          <w:rFonts w:ascii="Arial" w:hAnsi="Arial" w:cs="Arial"/>
          <w:color w:val="000000"/>
          <w:sz w:val="20"/>
          <w:szCs w:val="20"/>
        </w:rPr>
      </w:pPr>
      <w:r>
        <w:rPr>
          <w:rFonts w:ascii="Arial" w:hAnsi="Arial" w:cs="Arial"/>
          <w:color w:val="000000"/>
          <w:sz w:val="20"/>
          <w:szCs w:val="20"/>
        </w:rPr>
        <w:t>Seuil de d</w:t>
      </w:r>
      <w:r w:rsidR="00E74F3D" w:rsidRPr="00E74F3D">
        <w:rPr>
          <w:rFonts w:ascii="Arial" w:hAnsi="Arial" w:cs="Arial"/>
          <w:color w:val="000000"/>
          <w:sz w:val="20"/>
          <w:szCs w:val="20"/>
        </w:rPr>
        <w:t>éclenchement d’</w:t>
      </w:r>
      <w:r w:rsidR="00E74F3D">
        <w:rPr>
          <w:rFonts w:ascii="Arial" w:hAnsi="Arial" w:cs="Arial"/>
          <w:color w:val="000000"/>
          <w:sz w:val="20"/>
          <w:szCs w:val="20"/>
        </w:rPr>
        <w:t xml:space="preserve">une </w:t>
      </w:r>
      <w:r w:rsidR="00E74F3D" w:rsidRPr="00E74F3D">
        <w:rPr>
          <w:rFonts w:ascii="Arial" w:hAnsi="Arial" w:cs="Arial"/>
          <w:color w:val="000000"/>
          <w:sz w:val="20"/>
          <w:szCs w:val="20"/>
        </w:rPr>
        <w:t>alerte (</w:t>
      </w:r>
      <w:r w:rsidR="00E74F3D">
        <w:rPr>
          <w:rFonts w:ascii="Arial" w:hAnsi="Arial" w:cs="Arial"/>
          <w:color w:val="000000"/>
          <w:sz w:val="20"/>
          <w:szCs w:val="20"/>
        </w:rPr>
        <w:t xml:space="preserve">délai </w:t>
      </w:r>
      <w:r w:rsidR="00E74F3D" w:rsidRPr="00E74F3D">
        <w:rPr>
          <w:rFonts w:ascii="Arial" w:hAnsi="Arial" w:cs="Arial"/>
          <w:color w:val="000000"/>
          <w:sz w:val="20"/>
          <w:szCs w:val="20"/>
        </w:rPr>
        <w:t>en nombre de mois ou jours ouvrés</w:t>
      </w:r>
      <w:r w:rsidR="00E74F3D">
        <w:rPr>
          <w:rFonts w:ascii="Arial" w:hAnsi="Arial" w:cs="Arial"/>
          <w:color w:val="000000"/>
          <w:sz w:val="20"/>
          <w:szCs w:val="20"/>
        </w:rPr>
        <w:t xml:space="preserve"> à compter du retard</w:t>
      </w:r>
      <w:r w:rsidR="00E74F3D" w:rsidRPr="00E74F3D">
        <w:rPr>
          <w:rFonts w:ascii="Arial" w:hAnsi="Arial" w:cs="Arial"/>
          <w:color w:val="000000"/>
          <w:sz w:val="20"/>
          <w:szCs w:val="20"/>
        </w:rPr>
        <w:t>)</w:t>
      </w:r>
    </w:p>
    <w:p w14:paraId="210F0CE2" w14:textId="458F0E51" w:rsidR="00B86E1F" w:rsidRPr="00FB7206" w:rsidRDefault="00E74F3D" w:rsidP="00B86E1F">
      <w:pPr>
        <w:pStyle w:val="Paragraphedeliste"/>
        <w:numPr>
          <w:ilvl w:val="0"/>
          <w:numId w:val="2"/>
        </w:numPr>
        <w:spacing w:after="0" w:line="240" w:lineRule="auto"/>
        <w:rPr>
          <w:rFonts w:ascii="Arial" w:hAnsi="Arial" w:cs="Arial"/>
          <w:color w:val="000000"/>
          <w:sz w:val="20"/>
          <w:szCs w:val="20"/>
        </w:rPr>
      </w:pPr>
      <w:r w:rsidRPr="00E74F3D">
        <w:rPr>
          <w:rFonts w:ascii="Arial" w:hAnsi="Arial" w:cs="Arial"/>
          <w:color w:val="000000"/>
          <w:sz w:val="20"/>
          <w:szCs w:val="20"/>
        </w:rPr>
        <w:t>S</w:t>
      </w:r>
      <w:r w:rsidR="009A58F7">
        <w:rPr>
          <w:rFonts w:ascii="Arial" w:hAnsi="Arial" w:cs="Arial"/>
          <w:color w:val="000000"/>
          <w:sz w:val="20"/>
          <w:szCs w:val="20"/>
        </w:rPr>
        <w:t>euil de s</w:t>
      </w:r>
      <w:r w:rsidRPr="00E74F3D">
        <w:rPr>
          <w:rFonts w:ascii="Arial" w:hAnsi="Arial" w:cs="Arial"/>
          <w:color w:val="000000"/>
          <w:sz w:val="20"/>
          <w:szCs w:val="20"/>
        </w:rPr>
        <w:t xml:space="preserve">uspension des cartes </w:t>
      </w:r>
      <w:r>
        <w:rPr>
          <w:rFonts w:ascii="Arial" w:hAnsi="Arial" w:cs="Arial"/>
          <w:color w:val="000000"/>
          <w:sz w:val="20"/>
          <w:szCs w:val="20"/>
        </w:rPr>
        <w:t xml:space="preserve">(délai </w:t>
      </w:r>
      <w:r w:rsidRPr="00E74F3D">
        <w:rPr>
          <w:rFonts w:ascii="Arial" w:hAnsi="Arial" w:cs="Arial"/>
          <w:color w:val="000000"/>
          <w:sz w:val="20"/>
          <w:szCs w:val="20"/>
        </w:rPr>
        <w:t>en nombre de mois ou de jo</w:t>
      </w:r>
      <w:r>
        <w:rPr>
          <w:rFonts w:ascii="Arial" w:hAnsi="Arial" w:cs="Arial"/>
          <w:color w:val="000000"/>
          <w:sz w:val="20"/>
          <w:szCs w:val="20"/>
        </w:rPr>
        <w:t>urs à compter de l’alerte)</w:t>
      </w:r>
      <w:r w:rsidRPr="00E74F3D">
        <w:rPr>
          <w:rFonts w:ascii="Arial" w:hAnsi="Arial" w:cs="Arial"/>
          <w:color w:val="000000"/>
          <w:sz w:val="20"/>
          <w:szCs w:val="20"/>
        </w:rPr>
        <w:t>.</w:t>
      </w:r>
    </w:p>
    <w:p w14:paraId="698679C5" w14:textId="0CF625A5" w:rsidR="00B86E1F" w:rsidRDefault="00FB7206" w:rsidP="00B86E1F">
      <w:pPr>
        <w:spacing w:after="0" w:line="240" w:lineRule="auto"/>
        <w:rPr>
          <w:rFonts w:ascii="Arial" w:hAnsi="Arial" w:cs="Arial"/>
          <w:color w:val="000000"/>
          <w:sz w:val="20"/>
          <w:szCs w:val="20"/>
        </w:rPr>
      </w:pPr>
      <w:r>
        <w:rPr>
          <w:rFonts w:ascii="Arial" w:hAnsi="Arial" w:cs="Arial"/>
          <w:color w:val="000000"/>
          <w:sz w:val="20"/>
          <w:szCs w:val="20"/>
        </w:rPr>
        <w:t>Elle décrit</w:t>
      </w:r>
      <w:r w:rsidR="00B86E1F">
        <w:rPr>
          <w:rFonts w:ascii="Arial" w:hAnsi="Arial" w:cs="Arial"/>
          <w:color w:val="000000"/>
          <w:sz w:val="20"/>
          <w:szCs w:val="20"/>
        </w:rPr>
        <w:t xml:space="preserve"> les modalités de gestion des trop perçus, pénalités, gestion des avoirs : </w:t>
      </w:r>
    </w:p>
    <w:p w14:paraId="694743AE" w14:textId="774EF991" w:rsidR="00B86E1F" w:rsidRDefault="00B86E1F" w:rsidP="00B86E1F">
      <w:pPr>
        <w:spacing w:after="0" w:line="240" w:lineRule="auto"/>
        <w:rPr>
          <w:rFonts w:ascii="Arial" w:hAnsi="Arial" w:cs="Arial"/>
          <w:color w:val="000000"/>
          <w:sz w:val="20"/>
          <w:szCs w:val="20"/>
        </w:rPr>
      </w:pPr>
      <w:r>
        <w:rPr>
          <w:rFonts w:ascii="Arial" w:hAnsi="Arial" w:cs="Arial"/>
          <w:color w:val="000000"/>
          <w:sz w:val="20"/>
          <w:szCs w:val="20"/>
        </w:rPr>
        <w:t xml:space="preserve">Si recrédité sur la carte du porteur : </w:t>
      </w:r>
      <w:r w:rsidRPr="00CD239E">
        <w:rPr>
          <w:rFonts w:ascii="Arial" w:hAnsi="Arial" w:cs="Arial"/>
          <w:color w:val="000000"/>
          <w:sz w:val="20"/>
          <w:szCs w:val="20"/>
        </w:rPr>
        <w:t>L’offre indique les modalités de prise en compte du re-crédit des cartes dans le calcul des soldes des plafonds de cartes.</w:t>
      </w:r>
    </w:p>
    <w:p w14:paraId="2A0009B3" w14:textId="5C3C8065" w:rsidR="009A58F7" w:rsidRPr="00FB7206" w:rsidRDefault="00B86E1F" w:rsidP="00FB7206">
      <w:pPr>
        <w:spacing w:after="0" w:line="240" w:lineRule="auto"/>
        <w:rPr>
          <w:rFonts w:ascii="Arial" w:hAnsi="Arial" w:cs="Arial"/>
          <w:color w:val="000000"/>
          <w:sz w:val="20"/>
          <w:szCs w:val="20"/>
        </w:rPr>
      </w:pPr>
      <w:r>
        <w:rPr>
          <w:rFonts w:ascii="Arial" w:hAnsi="Arial" w:cs="Arial"/>
          <w:color w:val="000000"/>
          <w:sz w:val="20"/>
          <w:szCs w:val="20"/>
        </w:rPr>
        <w:t xml:space="preserve">SI ne peut pas être recrédité sur la carte du porteur :  </w:t>
      </w:r>
      <w:r w:rsidRPr="00CD239E">
        <w:rPr>
          <w:rFonts w:ascii="Arial" w:hAnsi="Arial" w:cs="Arial"/>
          <w:color w:val="000000"/>
          <w:sz w:val="20"/>
          <w:szCs w:val="20"/>
        </w:rPr>
        <w:t>L’offre indique les modalités de gestion des titres de perception et leur modalité de règlemen</w:t>
      </w:r>
      <w:r w:rsidR="00FB7206">
        <w:rPr>
          <w:rFonts w:ascii="Arial" w:hAnsi="Arial" w:cs="Arial"/>
          <w:color w:val="000000"/>
          <w:sz w:val="20"/>
          <w:szCs w:val="20"/>
        </w:rPr>
        <w:t>t</w:t>
      </w:r>
      <w:r w:rsidR="00E57EE4">
        <w:rPr>
          <w:rFonts w:ascii="Arial" w:hAnsi="Arial" w:cs="Arial"/>
          <w:color w:val="000000"/>
          <w:sz w:val="20"/>
          <w:szCs w:val="20"/>
        </w:rPr>
        <w:t>.</w:t>
      </w:r>
    </w:p>
    <w:sectPr w:rsidR="009A58F7" w:rsidRPr="00FB7206" w:rsidSect="001D3EA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77266"/>
    <w:multiLevelType w:val="hybridMultilevel"/>
    <w:tmpl w:val="F3B2A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EFA6CFC"/>
    <w:multiLevelType w:val="hybridMultilevel"/>
    <w:tmpl w:val="D2DE4568"/>
    <w:lvl w:ilvl="0" w:tplc="4E903C04">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570494D"/>
    <w:multiLevelType w:val="hybridMultilevel"/>
    <w:tmpl w:val="527A9AE2"/>
    <w:lvl w:ilvl="0" w:tplc="772AF94A">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DBD14BB"/>
    <w:multiLevelType w:val="hybridMultilevel"/>
    <w:tmpl w:val="ED76702A"/>
    <w:lvl w:ilvl="0" w:tplc="4E903C04">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1740C7E"/>
    <w:multiLevelType w:val="hybridMultilevel"/>
    <w:tmpl w:val="3DDEC3C8"/>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54E4C4B"/>
    <w:multiLevelType w:val="hybridMultilevel"/>
    <w:tmpl w:val="2A0EA1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4C06362"/>
    <w:multiLevelType w:val="hybridMultilevel"/>
    <w:tmpl w:val="F488BDA8"/>
    <w:lvl w:ilvl="0" w:tplc="4E903C04">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14455223">
    <w:abstractNumId w:val="5"/>
  </w:num>
  <w:num w:numId="2" w16cid:durableId="990523462">
    <w:abstractNumId w:val="1"/>
  </w:num>
  <w:num w:numId="3" w16cid:durableId="1063482377">
    <w:abstractNumId w:val="3"/>
  </w:num>
  <w:num w:numId="4" w16cid:durableId="984821759">
    <w:abstractNumId w:val="6"/>
  </w:num>
  <w:num w:numId="5" w16cid:durableId="1193417090">
    <w:abstractNumId w:val="2"/>
  </w:num>
  <w:num w:numId="6" w16cid:durableId="1325089697">
    <w:abstractNumId w:val="0"/>
  </w:num>
  <w:num w:numId="7" w16cid:durableId="17293813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6A0"/>
    <w:rsid w:val="00015EB9"/>
    <w:rsid w:val="000245F3"/>
    <w:rsid w:val="00067EC0"/>
    <w:rsid w:val="001B4199"/>
    <w:rsid w:val="001B41DC"/>
    <w:rsid w:val="001D3EA8"/>
    <w:rsid w:val="002167B9"/>
    <w:rsid w:val="0027447A"/>
    <w:rsid w:val="00313421"/>
    <w:rsid w:val="003C0FC0"/>
    <w:rsid w:val="003E1206"/>
    <w:rsid w:val="003E20A6"/>
    <w:rsid w:val="005B1067"/>
    <w:rsid w:val="006B0D11"/>
    <w:rsid w:val="006B370D"/>
    <w:rsid w:val="006D38A2"/>
    <w:rsid w:val="00726F9B"/>
    <w:rsid w:val="008325E6"/>
    <w:rsid w:val="009021F7"/>
    <w:rsid w:val="00945D8F"/>
    <w:rsid w:val="009A26A0"/>
    <w:rsid w:val="009A58F7"/>
    <w:rsid w:val="00A4340B"/>
    <w:rsid w:val="00A721C9"/>
    <w:rsid w:val="00AD6615"/>
    <w:rsid w:val="00B23BB8"/>
    <w:rsid w:val="00B860F1"/>
    <w:rsid w:val="00B86E1F"/>
    <w:rsid w:val="00B953CB"/>
    <w:rsid w:val="00BD7B48"/>
    <w:rsid w:val="00BF5F91"/>
    <w:rsid w:val="00C51749"/>
    <w:rsid w:val="00D90491"/>
    <w:rsid w:val="00DB2E3E"/>
    <w:rsid w:val="00DE1D7F"/>
    <w:rsid w:val="00E57EE4"/>
    <w:rsid w:val="00E74F3D"/>
    <w:rsid w:val="00EB5268"/>
    <w:rsid w:val="00FB72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86B50"/>
  <w15:chartTrackingRefBased/>
  <w15:docId w15:val="{2DFA2B5F-9A42-45EF-A898-444BE818D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B37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556</Words>
  <Characters>3058</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IGN</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Agnes Dieuzeide</dc:creator>
  <cp:keywords/>
  <dc:description/>
  <cp:lastModifiedBy>Catherine Sabah</cp:lastModifiedBy>
  <cp:revision>11</cp:revision>
  <dcterms:created xsi:type="dcterms:W3CDTF">2026-01-14T16:58:00Z</dcterms:created>
  <dcterms:modified xsi:type="dcterms:W3CDTF">2026-04-15T08:44:00Z</dcterms:modified>
</cp:coreProperties>
</file>